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2A8A" w:rsidRDefault="00AE6AB8">
      <w:pPr>
        <w:rPr>
          <w:lang w:val="es-MX"/>
        </w:rPr>
      </w:pPr>
      <w:r>
        <w:rPr>
          <w:lang w:val="es-MX"/>
        </w:rPr>
        <w:t xml:space="preserve">Formulario </w:t>
      </w:r>
    </w:p>
    <w:p w:rsidR="00AE6AB8" w:rsidRDefault="00AE6AB8" w:rsidP="00AD73A6">
      <w:pPr>
        <w:pStyle w:val="NormalWeb"/>
        <w:numPr>
          <w:ilvl w:val="0"/>
          <w:numId w:val="2"/>
        </w:numPr>
        <w:spacing w:before="0" w:beforeAutospacing="0" w:after="0" w:afterAutospacing="0"/>
        <w:textAlignment w:val="baseline"/>
        <w:rPr>
          <w:rFonts w:ascii="Arial" w:hAnsi="Arial" w:cs="Arial"/>
          <w:color w:val="222222"/>
          <w:sz w:val="22"/>
          <w:szCs w:val="22"/>
          <w:lang w:val="es-MX"/>
        </w:rPr>
      </w:pPr>
      <w:r w:rsidRPr="00AE6AB8">
        <w:rPr>
          <w:rFonts w:ascii="Arial" w:hAnsi="Arial" w:cs="Arial"/>
          <w:color w:val="222222"/>
          <w:sz w:val="22"/>
          <w:szCs w:val="22"/>
          <w:lang w:val="es-MX"/>
        </w:rPr>
        <w:t xml:space="preserve">Nombre de la obra: </w:t>
      </w:r>
      <w:r w:rsidR="00AD73A6" w:rsidRPr="00AD73A6">
        <w:rPr>
          <w:rFonts w:ascii="Arial" w:hAnsi="Arial" w:cs="Arial"/>
          <w:color w:val="222222"/>
          <w:sz w:val="22"/>
          <w:szCs w:val="22"/>
          <w:lang w:val="es-MX"/>
        </w:rPr>
        <w:t>Edificio SL 2401</w:t>
      </w:r>
    </w:p>
    <w:p w:rsidR="00202EAC" w:rsidRDefault="00202EAC" w:rsidP="00202EAC">
      <w:pPr>
        <w:pStyle w:val="Sinespaciado"/>
        <w:spacing w:line="360" w:lineRule="auto"/>
        <w:rPr>
          <w:rFonts w:ascii="Arial" w:hAnsi="Arial" w:cs="Arial"/>
          <w:color w:val="222222"/>
          <w:lang w:val="es-MX"/>
        </w:rPr>
      </w:pPr>
    </w:p>
    <w:p w:rsidR="00071EBD" w:rsidRPr="00071EBD" w:rsidRDefault="00202EAC" w:rsidP="00071EBD">
      <w:pPr>
        <w:pStyle w:val="Sinespaciado"/>
        <w:numPr>
          <w:ilvl w:val="0"/>
          <w:numId w:val="2"/>
        </w:numPr>
        <w:spacing w:line="360" w:lineRule="auto"/>
        <w:rPr>
          <w:rFonts w:ascii="Arial" w:eastAsia="Times New Roman" w:hAnsi="Arial" w:cs="Arial"/>
          <w:color w:val="222222"/>
          <w:lang w:val="es-MX" w:eastAsia="en-US"/>
        </w:rPr>
      </w:pPr>
      <w:r w:rsidRPr="00071EBD">
        <w:rPr>
          <w:rFonts w:ascii="Arial" w:eastAsia="Times New Roman" w:hAnsi="Arial" w:cs="Arial"/>
          <w:color w:val="222222"/>
          <w:lang w:val="es-MX" w:eastAsia="en-US"/>
        </w:rPr>
        <w:t xml:space="preserve">Tipo: </w:t>
      </w:r>
      <w:r w:rsidR="00071EBD" w:rsidRPr="00071EBD">
        <w:rPr>
          <w:rFonts w:ascii="Arial" w:eastAsia="Times New Roman" w:hAnsi="Arial" w:cs="Arial"/>
          <w:color w:val="222222"/>
          <w:lang w:val="es-MX" w:eastAsia="en-US"/>
        </w:rPr>
        <w:t>Edificio de viviendas en propiedad horizontal - PB + 6 pisos</w:t>
      </w:r>
    </w:p>
    <w:p w:rsidR="00AE6AB8" w:rsidRPr="00071EBD" w:rsidRDefault="00AE6AB8" w:rsidP="00071EBD">
      <w:pPr>
        <w:pStyle w:val="Sinespaciado"/>
        <w:spacing w:line="360" w:lineRule="auto"/>
        <w:textAlignment w:val="baseline"/>
        <w:rPr>
          <w:rFonts w:ascii="Arial" w:hAnsi="Arial" w:cs="Arial"/>
          <w:color w:val="222222"/>
          <w:lang w:val="es-MX"/>
        </w:rPr>
      </w:pPr>
    </w:p>
    <w:p w:rsidR="00AE6AB8" w:rsidRDefault="00AE6AB8" w:rsidP="00AE6AB8">
      <w:pPr>
        <w:pStyle w:val="NormalWeb"/>
        <w:numPr>
          <w:ilvl w:val="0"/>
          <w:numId w:val="2"/>
        </w:numPr>
        <w:spacing w:before="0" w:beforeAutospacing="0" w:after="0" w:afterAutospacing="0"/>
        <w:textAlignment w:val="baseline"/>
        <w:rPr>
          <w:rFonts w:ascii="Arial" w:hAnsi="Arial" w:cs="Arial"/>
          <w:color w:val="222222"/>
          <w:sz w:val="22"/>
          <w:szCs w:val="22"/>
          <w:lang w:val="es-MX"/>
        </w:rPr>
      </w:pPr>
      <w:r>
        <w:rPr>
          <w:rFonts w:ascii="Arial" w:hAnsi="Arial" w:cs="Arial"/>
          <w:color w:val="222222"/>
          <w:sz w:val="22"/>
          <w:szCs w:val="22"/>
          <w:lang w:val="es-MX"/>
        </w:rPr>
        <w:t xml:space="preserve">Ubicación: </w:t>
      </w:r>
      <w:r w:rsidR="009223B0" w:rsidRPr="009223B0">
        <w:rPr>
          <w:rFonts w:ascii="Calibri" w:hAnsi="Calibri" w:cs="Calibri"/>
          <w:lang w:val="es-MX"/>
        </w:rPr>
        <w:t>San Lorenzo Nº2401</w:t>
      </w:r>
      <w:bookmarkStart w:id="0" w:name="_GoBack"/>
      <w:bookmarkEnd w:id="0"/>
      <w:r w:rsidR="009223B0" w:rsidRPr="009223B0">
        <w:rPr>
          <w:rFonts w:ascii="Calibri" w:hAnsi="Calibri" w:cs="Calibri"/>
          <w:lang w:val="es-MX"/>
        </w:rPr>
        <w:t xml:space="preserve"> </w:t>
      </w:r>
      <w:r w:rsidR="009223B0">
        <w:rPr>
          <w:rFonts w:ascii="Calibri" w:hAnsi="Calibri" w:cs="Calibri"/>
          <w:lang w:val="es-MX"/>
        </w:rPr>
        <w:t xml:space="preserve"> </w:t>
      </w:r>
      <w:r w:rsidR="001E6EBD">
        <w:rPr>
          <w:rFonts w:ascii="Arial" w:hAnsi="Arial" w:cs="Arial"/>
          <w:color w:val="222222"/>
          <w:sz w:val="22"/>
          <w:szCs w:val="22"/>
          <w:lang w:val="es-MX"/>
        </w:rPr>
        <w:t>Rosario</w:t>
      </w:r>
      <w:r w:rsidRPr="00AE6AB8">
        <w:rPr>
          <w:rFonts w:ascii="Arial" w:hAnsi="Arial" w:cs="Arial"/>
          <w:color w:val="222222"/>
          <w:sz w:val="22"/>
          <w:szCs w:val="22"/>
          <w:lang w:val="es-MX"/>
        </w:rPr>
        <w:t xml:space="preserve"> – Santa fe – Argentina</w:t>
      </w:r>
    </w:p>
    <w:p w:rsidR="00AE6AB8" w:rsidRPr="00AE6AB8" w:rsidRDefault="00AE6AB8" w:rsidP="00AE6AB8">
      <w:pPr>
        <w:pStyle w:val="NormalWeb"/>
        <w:spacing w:before="0" w:beforeAutospacing="0" w:after="0" w:afterAutospacing="0"/>
        <w:ind w:left="720"/>
        <w:textAlignment w:val="baseline"/>
        <w:rPr>
          <w:rFonts w:ascii="Arial" w:hAnsi="Arial" w:cs="Arial"/>
          <w:color w:val="222222"/>
          <w:sz w:val="22"/>
          <w:szCs w:val="22"/>
          <w:lang w:val="es-MX"/>
        </w:rPr>
      </w:pPr>
    </w:p>
    <w:p w:rsidR="00AE6AB8" w:rsidRPr="00202EAC" w:rsidRDefault="00AE6AB8" w:rsidP="00202EAC">
      <w:pPr>
        <w:pStyle w:val="NormalWeb"/>
        <w:numPr>
          <w:ilvl w:val="0"/>
          <w:numId w:val="2"/>
        </w:numPr>
        <w:spacing w:before="1"/>
        <w:rPr>
          <w:rFonts w:ascii="Arial" w:hAnsi="Arial" w:cs="Arial"/>
          <w:color w:val="222222"/>
          <w:sz w:val="22"/>
          <w:szCs w:val="22"/>
          <w:lang w:val="es-MX"/>
        </w:rPr>
      </w:pPr>
      <w:r w:rsidRPr="00202EAC">
        <w:rPr>
          <w:rFonts w:ascii="Arial" w:hAnsi="Arial" w:cs="Arial"/>
          <w:color w:val="222222"/>
          <w:sz w:val="22"/>
          <w:szCs w:val="22"/>
          <w:lang w:val="es-MX"/>
        </w:rPr>
        <w:t>Autor/es:</w:t>
      </w:r>
      <w:r w:rsidR="00071EBD">
        <w:rPr>
          <w:rFonts w:ascii="Arial" w:hAnsi="Arial" w:cs="Arial"/>
          <w:color w:val="222222"/>
          <w:sz w:val="22"/>
          <w:szCs w:val="22"/>
          <w:lang w:val="es-MX"/>
        </w:rPr>
        <w:t xml:space="preserve"> Desarrollo,</w:t>
      </w:r>
      <w:r w:rsidRPr="00202EAC">
        <w:rPr>
          <w:rFonts w:ascii="Arial" w:hAnsi="Arial" w:cs="Arial"/>
          <w:color w:val="222222"/>
          <w:sz w:val="22"/>
          <w:szCs w:val="22"/>
          <w:lang w:val="es-MX"/>
        </w:rPr>
        <w:t xml:space="preserve"> </w:t>
      </w:r>
      <w:r w:rsidR="00071EBD">
        <w:rPr>
          <w:rFonts w:ascii="Arial" w:hAnsi="Arial" w:cs="Arial"/>
          <w:color w:val="222222"/>
          <w:sz w:val="22"/>
          <w:szCs w:val="22"/>
          <w:lang w:val="es-MX"/>
        </w:rPr>
        <w:t>p</w:t>
      </w:r>
      <w:r w:rsidR="00202EAC" w:rsidRPr="00202EAC">
        <w:rPr>
          <w:rFonts w:ascii="Arial" w:hAnsi="Arial" w:cs="Arial"/>
          <w:color w:val="222222"/>
          <w:sz w:val="22"/>
          <w:szCs w:val="22"/>
          <w:lang w:val="es-MX"/>
        </w:rPr>
        <w:t xml:space="preserve">royecto y dirección de obra: CMS arquitectas - </w:t>
      </w:r>
      <w:proofErr w:type="spellStart"/>
      <w:r w:rsidR="00202EAC" w:rsidRPr="00202EAC">
        <w:rPr>
          <w:rFonts w:ascii="Arial" w:hAnsi="Arial" w:cs="Arial"/>
          <w:color w:val="222222"/>
          <w:sz w:val="22"/>
          <w:szCs w:val="22"/>
          <w:lang w:val="es-MX"/>
        </w:rPr>
        <w:t>Chiatello</w:t>
      </w:r>
      <w:proofErr w:type="spellEnd"/>
      <w:r w:rsidR="00202EAC" w:rsidRPr="00202EAC">
        <w:rPr>
          <w:rFonts w:ascii="Arial" w:hAnsi="Arial" w:cs="Arial"/>
          <w:color w:val="222222"/>
          <w:sz w:val="22"/>
          <w:szCs w:val="22"/>
          <w:lang w:val="es-MX"/>
        </w:rPr>
        <w:t xml:space="preserve"> Diana, </w:t>
      </w:r>
      <w:proofErr w:type="spellStart"/>
      <w:r w:rsidR="00202EAC" w:rsidRPr="00202EAC">
        <w:rPr>
          <w:rFonts w:ascii="Arial" w:hAnsi="Arial" w:cs="Arial"/>
          <w:color w:val="222222"/>
          <w:sz w:val="22"/>
          <w:szCs w:val="22"/>
          <w:lang w:val="es-MX"/>
        </w:rPr>
        <w:t>Matiasevich</w:t>
      </w:r>
      <w:proofErr w:type="spellEnd"/>
      <w:r w:rsidR="00202EAC" w:rsidRPr="00202EAC">
        <w:rPr>
          <w:rFonts w:ascii="Arial" w:hAnsi="Arial" w:cs="Arial"/>
          <w:color w:val="222222"/>
          <w:sz w:val="22"/>
          <w:szCs w:val="22"/>
          <w:lang w:val="es-MX"/>
        </w:rPr>
        <w:t xml:space="preserve"> Paula, </w:t>
      </w:r>
      <w:proofErr w:type="spellStart"/>
      <w:r w:rsidR="00202EAC" w:rsidRPr="00202EAC">
        <w:rPr>
          <w:rFonts w:ascii="Arial" w:hAnsi="Arial" w:cs="Arial"/>
          <w:color w:val="222222"/>
          <w:sz w:val="22"/>
          <w:szCs w:val="22"/>
          <w:lang w:val="es-MX"/>
        </w:rPr>
        <w:t>Spinetta</w:t>
      </w:r>
      <w:proofErr w:type="spellEnd"/>
      <w:r w:rsidR="00202EAC" w:rsidRPr="00202EAC">
        <w:rPr>
          <w:rFonts w:ascii="Arial" w:hAnsi="Arial" w:cs="Arial"/>
          <w:color w:val="222222"/>
          <w:sz w:val="22"/>
          <w:szCs w:val="22"/>
          <w:lang w:val="es-MX"/>
        </w:rPr>
        <w:t xml:space="preserve"> Melina arquitectas. </w:t>
      </w:r>
    </w:p>
    <w:p w:rsidR="00AE6AB8" w:rsidRPr="00202EAC" w:rsidRDefault="00AE6AB8" w:rsidP="00AE6AB8">
      <w:pPr>
        <w:pStyle w:val="NormalWeb"/>
        <w:spacing w:before="0" w:beforeAutospacing="0" w:after="0" w:afterAutospacing="0"/>
        <w:textAlignment w:val="baseline"/>
        <w:rPr>
          <w:rFonts w:ascii="Arial" w:hAnsi="Arial" w:cs="Arial"/>
          <w:color w:val="222222"/>
          <w:sz w:val="22"/>
          <w:szCs w:val="22"/>
          <w:lang w:val="es-MX"/>
        </w:rPr>
      </w:pPr>
    </w:p>
    <w:p w:rsidR="00071EBD" w:rsidRPr="00071EBD" w:rsidRDefault="00AE6AB8" w:rsidP="00071EBD">
      <w:pPr>
        <w:pStyle w:val="Sinespaciado"/>
        <w:numPr>
          <w:ilvl w:val="0"/>
          <w:numId w:val="2"/>
        </w:numPr>
        <w:spacing w:line="360" w:lineRule="auto"/>
        <w:rPr>
          <w:rFonts w:ascii="Arial" w:eastAsia="Times New Roman" w:hAnsi="Arial" w:cs="Arial"/>
          <w:color w:val="222222"/>
          <w:lang w:val="es-MX" w:eastAsia="en-US"/>
        </w:rPr>
      </w:pPr>
      <w:r w:rsidRPr="00071EBD">
        <w:rPr>
          <w:rFonts w:ascii="Arial" w:eastAsia="Times New Roman" w:hAnsi="Arial" w:cs="Arial"/>
          <w:color w:val="222222"/>
          <w:lang w:val="es-MX" w:eastAsia="en-US"/>
        </w:rPr>
        <w:t xml:space="preserve">Colaborador/es: </w:t>
      </w:r>
      <w:r w:rsidR="00071EBD" w:rsidRPr="00071EBD">
        <w:rPr>
          <w:rFonts w:ascii="Arial" w:eastAsia="Times New Roman" w:hAnsi="Arial" w:cs="Arial"/>
          <w:color w:val="222222"/>
          <w:lang w:val="es-MX" w:eastAsia="en-US"/>
        </w:rPr>
        <w:t>Administración fideicomiso: Pelle &amp; Asociados</w:t>
      </w:r>
      <w:r w:rsidR="00071EBD">
        <w:rPr>
          <w:rFonts w:ascii="Arial" w:eastAsia="Times New Roman" w:hAnsi="Arial" w:cs="Arial"/>
          <w:color w:val="222222"/>
          <w:lang w:val="es-MX" w:eastAsia="en-US"/>
        </w:rPr>
        <w:t xml:space="preserve">. </w:t>
      </w:r>
      <w:r w:rsidR="00071EBD" w:rsidRPr="00071EBD">
        <w:rPr>
          <w:rFonts w:ascii="Arial" w:eastAsia="Times New Roman" w:hAnsi="Arial" w:cs="Arial"/>
          <w:color w:val="222222"/>
          <w:lang w:val="es-MX" w:eastAsia="en-US"/>
        </w:rPr>
        <w:t xml:space="preserve">Cálculo estructural: Ing. </w:t>
      </w:r>
      <w:proofErr w:type="spellStart"/>
      <w:r w:rsidR="00071EBD" w:rsidRPr="00071EBD">
        <w:rPr>
          <w:rFonts w:ascii="Arial" w:eastAsia="Times New Roman" w:hAnsi="Arial" w:cs="Arial"/>
          <w:color w:val="222222"/>
          <w:lang w:val="es-MX" w:eastAsia="en-US"/>
        </w:rPr>
        <w:t>Zamboni</w:t>
      </w:r>
      <w:proofErr w:type="spellEnd"/>
      <w:r w:rsidR="00071EBD" w:rsidRPr="00071EBD">
        <w:rPr>
          <w:rFonts w:ascii="Arial" w:eastAsia="Times New Roman" w:hAnsi="Arial" w:cs="Arial"/>
          <w:color w:val="222222"/>
          <w:lang w:val="es-MX" w:eastAsia="en-US"/>
        </w:rPr>
        <w:t>, Raúl</w:t>
      </w:r>
      <w:r w:rsidR="00071EBD">
        <w:rPr>
          <w:rFonts w:ascii="Arial" w:eastAsia="Times New Roman" w:hAnsi="Arial" w:cs="Arial"/>
          <w:color w:val="222222"/>
          <w:lang w:val="es-MX" w:eastAsia="en-US"/>
        </w:rPr>
        <w:t xml:space="preserve">. </w:t>
      </w:r>
    </w:p>
    <w:p w:rsidR="00AE6AB8" w:rsidRPr="00071EBD" w:rsidRDefault="00AE6AB8" w:rsidP="00071EBD">
      <w:pPr>
        <w:pStyle w:val="Sinespaciado"/>
        <w:spacing w:line="360" w:lineRule="auto"/>
        <w:ind w:left="720"/>
        <w:rPr>
          <w:rFonts w:ascii="Arial" w:eastAsia="Times New Roman" w:hAnsi="Arial" w:cs="Arial"/>
          <w:color w:val="222222"/>
          <w:lang w:val="es-MX" w:eastAsia="en-US"/>
        </w:rPr>
      </w:pPr>
    </w:p>
    <w:p w:rsidR="00AE6AB8" w:rsidRPr="00AE6AB8" w:rsidRDefault="00AE6AB8" w:rsidP="00AE6AB8">
      <w:pPr>
        <w:pStyle w:val="Prrafodelista"/>
        <w:numPr>
          <w:ilvl w:val="0"/>
          <w:numId w:val="2"/>
        </w:numPr>
        <w:spacing w:before="120" w:after="120" w:line="360" w:lineRule="auto"/>
        <w:rPr>
          <w:rFonts w:ascii="Arial" w:hAnsi="Arial" w:cs="Arial"/>
          <w:color w:val="222222"/>
          <w:lang w:val="es-MX"/>
        </w:rPr>
      </w:pPr>
      <w:r w:rsidRPr="00AE6AB8">
        <w:rPr>
          <w:rFonts w:ascii="Arial" w:hAnsi="Arial" w:cs="Arial"/>
          <w:color w:val="222222"/>
          <w:lang w:val="es-MX"/>
        </w:rPr>
        <w:t xml:space="preserve">Constructora (si la hubiera): </w:t>
      </w:r>
      <w:r w:rsidR="00E44C5B" w:rsidRPr="00071EBD">
        <w:rPr>
          <w:rFonts w:ascii="Arial" w:eastAsia="Times New Roman" w:hAnsi="Arial" w:cs="Arial"/>
          <w:color w:val="222222"/>
          <w:lang w:val="es-MX"/>
        </w:rPr>
        <w:t>Ciclar SRL</w:t>
      </w:r>
      <w:r w:rsidR="00C17D4E" w:rsidRPr="00C17D4E">
        <w:rPr>
          <w:rFonts w:ascii="Arial" w:hAnsi="Arial" w:cs="Arial"/>
          <w:color w:val="222222"/>
          <w:lang w:val="es-MX"/>
        </w:rPr>
        <w:t xml:space="preserve">. </w:t>
      </w:r>
    </w:p>
    <w:p w:rsidR="00AE6AB8" w:rsidRDefault="00AE6AB8" w:rsidP="00AE6AB8">
      <w:pPr>
        <w:pStyle w:val="NormalWeb"/>
        <w:numPr>
          <w:ilvl w:val="0"/>
          <w:numId w:val="2"/>
        </w:numPr>
        <w:spacing w:before="0" w:beforeAutospacing="0" w:after="0" w:afterAutospacing="0"/>
        <w:textAlignment w:val="baseline"/>
        <w:rPr>
          <w:rFonts w:ascii="Arial" w:hAnsi="Arial" w:cs="Arial"/>
          <w:color w:val="222222"/>
          <w:sz w:val="22"/>
          <w:szCs w:val="22"/>
        </w:rPr>
      </w:pPr>
      <w:proofErr w:type="spellStart"/>
      <w:r>
        <w:rPr>
          <w:rFonts w:ascii="Arial" w:hAnsi="Arial" w:cs="Arial"/>
          <w:color w:val="222222"/>
          <w:sz w:val="22"/>
          <w:szCs w:val="22"/>
        </w:rPr>
        <w:t>Año</w:t>
      </w:r>
      <w:proofErr w:type="spellEnd"/>
      <w:r>
        <w:rPr>
          <w:rFonts w:ascii="Arial" w:hAnsi="Arial" w:cs="Arial"/>
          <w:color w:val="222222"/>
          <w:sz w:val="22"/>
          <w:szCs w:val="22"/>
        </w:rPr>
        <w:t xml:space="preserve"> de </w:t>
      </w:r>
      <w:proofErr w:type="spellStart"/>
      <w:r>
        <w:rPr>
          <w:rFonts w:ascii="Arial" w:hAnsi="Arial" w:cs="Arial"/>
          <w:color w:val="222222"/>
          <w:sz w:val="22"/>
          <w:szCs w:val="22"/>
        </w:rPr>
        <w:t>proyecto</w:t>
      </w:r>
      <w:proofErr w:type="spellEnd"/>
      <w:r>
        <w:rPr>
          <w:rFonts w:ascii="Arial" w:hAnsi="Arial" w:cs="Arial"/>
          <w:color w:val="222222"/>
          <w:sz w:val="22"/>
          <w:szCs w:val="22"/>
        </w:rPr>
        <w:t xml:space="preserve">: </w:t>
      </w:r>
      <w:r w:rsidR="00E16534">
        <w:rPr>
          <w:rFonts w:ascii="Arial" w:hAnsi="Arial" w:cs="Arial"/>
          <w:color w:val="222222"/>
          <w:sz w:val="22"/>
          <w:szCs w:val="22"/>
        </w:rPr>
        <w:t>2010</w:t>
      </w:r>
    </w:p>
    <w:p w:rsidR="00AE6AB8" w:rsidRDefault="00AE6AB8" w:rsidP="00AE6AB8">
      <w:pPr>
        <w:pStyle w:val="NormalWeb"/>
        <w:spacing w:before="0" w:beforeAutospacing="0" w:after="0" w:afterAutospacing="0"/>
        <w:ind w:left="945"/>
        <w:textAlignment w:val="baseline"/>
        <w:rPr>
          <w:rFonts w:ascii="Arial" w:hAnsi="Arial" w:cs="Arial"/>
          <w:color w:val="222222"/>
          <w:sz w:val="22"/>
          <w:szCs w:val="22"/>
        </w:rPr>
      </w:pPr>
    </w:p>
    <w:p w:rsidR="00AE6AB8" w:rsidRDefault="00AE6AB8" w:rsidP="00AE6AB8">
      <w:pPr>
        <w:pStyle w:val="NormalWeb"/>
        <w:numPr>
          <w:ilvl w:val="0"/>
          <w:numId w:val="2"/>
        </w:numPr>
        <w:spacing w:before="0" w:beforeAutospacing="0" w:after="0" w:afterAutospacing="0"/>
        <w:textAlignment w:val="baseline"/>
        <w:rPr>
          <w:rFonts w:ascii="Arial" w:hAnsi="Arial" w:cs="Arial"/>
          <w:color w:val="222222"/>
          <w:sz w:val="22"/>
          <w:szCs w:val="22"/>
        </w:rPr>
      </w:pPr>
      <w:proofErr w:type="spellStart"/>
      <w:r>
        <w:rPr>
          <w:rFonts w:ascii="Arial" w:hAnsi="Arial" w:cs="Arial"/>
          <w:color w:val="222222"/>
          <w:sz w:val="22"/>
          <w:szCs w:val="22"/>
        </w:rPr>
        <w:t>Año</w:t>
      </w:r>
      <w:proofErr w:type="spellEnd"/>
      <w:r>
        <w:rPr>
          <w:rFonts w:ascii="Arial" w:hAnsi="Arial" w:cs="Arial"/>
          <w:color w:val="222222"/>
          <w:sz w:val="22"/>
          <w:szCs w:val="22"/>
        </w:rPr>
        <w:t xml:space="preserve"> de </w:t>
      </w:r>
      <w:proofErr w:type="spellStart"/>
      <w:r>
        <w:rPr>
          <w:rFonts w:ascii="Arial" w:hAnsi="Arial" w:cs="Arial"/>
          <w:color w:val="222222"/>
          <w:sz w:val="22"/>
          <w:szCs w:val="22"/>
        </w:rPr>
        <w:t>construcción</w:t>
      </w:r>
      <w:proofErr w:type="spellEnd"/>
      <w:r>
        <w:rPr>
          <w:rFonts w:ascii="Arial" w:hAnsi="Arial" w:cs="Arial"/>
          <w:color w:val="222222"/>
          <w:sz w:val="22"/>
          <w:szCs w:val="22"/>
        </w:rPr>
        <w:t>: </w:t>
      </w:r>
      <w:r w:rsidR="00071EBD" w:rsidRPr="009166C0">
        <w:rPr>
          <w:rFonts w:ascii="Calibri" w:hAnsi="Calibri" w:cs="Calibri"/>
        </w:rPr>
        <w:t>2011 –2012</w:t>
      </w:r>
    </w:p>
    <w:p w:rsidR="00AE6AB8" w:rsidRDefault="00AE6AB8" w:rsidP="00AE6AB8">
      <w:pPr>
        <w:pStyle w:val="Prrafodelista"/>
        <w:rPr>
          <w:rFonts w:ascii="Arial" w:hAnsi="Arial" w:cs="Arial"/>
          <w:color w:val="222222"/>
          <w:lang w:val="es-MX"/>
        </w:rPr>
      </w:pPr>
    </w:p>
    <w:p w:rsidR="00071EBD" w:rsidRPr="009166C0" w:rsidRDefault="00AE6AB8" w:rsidP="00071EBD">
      <w:pPr>
        <w:pStyle w:val="Sinespaciado"/>
        <w:numPr>
          <w:ilvl w:val="0"/>
          <w:numId w:val="2"/>
        </w:numPr>
        <w:spacing w:line="360" w:lineRule="auto"/>
        <w:rPr>
          <w:rFonts w:ascii="Calibri" w:hAnsi="Calibri" w:cs="Calibri"/>
        </w:rPr>
      </w:pPr>
      <w:r w:rsidRPr="00071EBD">
        <w:rPr>
          <w:rFonts w:ascii="Arial" w:hAnsi="Arial" w:cs="Arial"/>
          <w:color w:val="222222"/>
          <w:lang w:val="es-MX"/>
        </w:rPr>
        <w:t xml:space="preserve">Crédito fotográfico: </w:t>
      </w:r>
      <w:r w:rsidR="00071EBD" w:rsidRPr="00071EBD">
        <w:rPr>
          <w:rFonts w:ascii="Arial" w:hAnsi="Arial" w:cs="Arial"/>
          <w:color w:val="222222"/>
          <w:lang w:val="es-MX"/>
        </w:rPr>
        <w:t xml:space="preserve">Arq. Walter Salcedo; Arq. Luis </w:t>
      </w:r>
      <w:proofErr w:type="spellStart"/>
      <w:r w:rsidR="00071EBD" w:rsidRPr="00071EBD">
        <w:rPr>
          <w:rFonts w:ascii="Arial" w:hAnsi="Arial" w:cs="Arial"/>
          <w:color w:val="222222"/>
          <w:lang w:val="es-MX"/>
        </w:rPr>
        <w:t>Vignoli</w:t>
      </w:r>
      <w:proofErr w:type="spellEnd"/>
    </w:p>
    <w:p w:rsidR="00AE6AB8" w:rsidRDefault="00AE6AB8" w:rsidP="00071EBD">
      <w:pPr>
        <w:pStyle w:val="NormalWeb"/>
        <w:spacing w:before="0" w:beforeAutospacing="0" w:after="0" w:afterAutospacing="0"/>
        <w:ind w:left="720"/>
        <w:textAlignment w:val="baseline"/>
        <w:rPr>
          <w:lang w:val="es-MX"/>
        </w:rPr>
      </w:pPr>
    </w:p>
    <w:p w:rsidR="00071EBD" w:rsidRPr="00071EBD" w:rsidRDefault="00071EBD" w:rsidP="00071EBD">
      <w:pPr>
        <w:pStyle w:val="NormalWeb"/>
        <w:spacing w:before="0" w:beforeAutospacing="0" w:after="0" w:afterAutospacing="0"/>
        <w:ind w:left="720"/>
        <w:textAlignment w:val="baseline"/>
        <w:rPr>
          <w:lang w:val="es-MX"/>
        </w:rPr>
      </w:pPr>
    </w:p>
    <w:p w:rsidR="00071EBD" w:rsidRPr="009166C0" w:rsidRDefault="00071EBD" w:rsidP="00071EBD">
      <w:pPr>
        <w:pStyle w:val="Sinespaciado"/>
        <w:spacing w:line="360" w:lineRule="auto"/>
        <w:rPr>
          <w:rFonts w:ascii="Calibri" w:hAnsi="Calibri" w:cs="Calibri"/>
          <w:b/>
          <w:bCs/>
        </w:rPr>
      </w:pPr>
      <w:r w:rsidRPr="009166C0">
        <w:rPr>
          <w:rFonts w:ascii="Calibri" w:hAnsi="Calibri" w:cs="Calibri"/>
          <w:b/>
          <w:bCs/>
        </w:rPr>
        <w:t>MEMORIA</w:t>
      </w:r>
    </w:p>
    <w:p w:rsidR="00071EBD" w:rsidRPr="009166C0" w:rsidRDefault="00071EBD" w:rsidP="00071EBD">
      <w:pPr>
        <w:pStyle w:val="Sinespaciado"/>
        <w:spacing w:line="360" w:lineRule="auto"/>
        <w:rPr>
          <w:rFonts w:ascii="Calibri" w:hAnsi="Calibri" w:cs="Calibri"/>
        </w:rPr>
      </w:pPr>
      <w:r w:rsidRPr="009166C0">
        <w:rPr>
          <w:rFonts w:ascii="Calibri" w:hAnsi="Calibri" w:cs="Calibri"/>
        </w:rPr>
        <w:t>Desarrollamos esta escala de obras desde cierta autogestión y es desde ésta, que nuestra búsqueda proyectual es en función de los sujetos que van a interactuar con la obra desde el adentro o el afuera sean habitantes, vecinos o transeúntes. Buscamos relacionarnos con el entorno inmediato y con el espacio público a través de la definición y expresión de diferentes escalas de lectura de la obra, y de la permeabilidad de sus límites, generando diálogo entre interiores y exteriores.</w:t>
      </w:r>
    </w:p>
    <w:p w:rsidR="00071EBD" w:rsidRPr="009166C0" w:rsidRDefault="00071EBD" w:rsidP="00071EBD">
      <w:pPr>
        <w:pStyle w:val="Sinespaciado"/>
        <w:spacing w:line="360" w:lineRule="auto"/>
        <w:rPr>
          <w:rFonts w:ascii="Calibri" w:hAnsi="Calibri" w:cs="Calibri"/>
        </w:rPr>
      </w:pPr>
    </w:p>
    <w:p w:rsidR="00071EBD" w:rsidRPr="009166C0" w:rsidRDefault="00071EBD" w:rsidP="00071EBD">
      <w:pPr>
        <w:pStyle w:val="Sinespaciado"/>
        <w:spacing w:line="360" w:lineRule="auto"/>
        <w:rPr>
          <w:rFonts w:ascii="Calibri" w:hAnsi="Calibri" w:cs="Calibri"/>
        </w:rPr>
      </w:pPr>
      <w:r w:rsidRPr="009166C0">
        <w:rPr>
          <w:rFonts w:ascii="Calibri" w:hAnsi="Calibri" w:cs="Calibri"/>
        </w:rPr>
        <w:t xml:space="preserve">La calidad de la habitabilidad es también entendida desde esa continuidad espacial, desde la necesaria presencia de la luz natural, el arbolado de nuestras calles, los linderos, la ciudad. La elección de la materialidad y los sistemas constructivos está ligada a la necesidad de perdurabilidad en el tiempo, que la obra de cuenta de él y no del desgaste. </w:t>
      </w:r>
    </w:p>
    <w:p w:rsidR="00071EBD" w:rsidRPr="009166C0" w:rsidRDefault="00071EBD" w:rsidP="00071EBD">
      <w:pPr>
        <w:pStyle w:val="Sinespaciado"/>
        <w:spacing w:line="360" w:lineRule="auto"/>
        <w:rPr>
          <w:rFonts w:ascii="Calibri" w:hAnsi="Calibri" w:cs="Calibri"/>
        </w:rPr>
      </w:pPr>
      <w:r w:rsidRPr="009166C0">
        <w:rPr>
          <w:rFonts w:ascii="Calibri" w:hAnsi="Calibri" w:cs="Calibri"/>
        </w:rPr>
        <w:lastRenderedPageBreak/>
        <w:t>Intentamos construir una identidad desde gestos presentes pero silenciosos, repitiendo o reelaborando criterios.</w:t>
      </w:r>
    </w:p>
    <w:p w:rsidR="00071EBD" w:rsidRDefault="00071EBD" w:rsidP="00071EBD">
      <w:pPr>
        <w:pStyle w:val="Sinespaciado"/>
        <w:spacing w:line="360" w:lineRule="auto"/>
        <w:rPr>
          <w:rFonts w:ascii="Calibri" w:hAnsi="Calibri" w:cs="Calibri"/>
        </w:rPr>
      </w:pPr>
    </w:p>
    <w:p w:rsidR="00071EBD" w:rsidRPr="00071EBD" w:rsidRDefault="00071EBD" w:rsidP="00071EBD">
      <w:pPr>
        <w:spacing w:after="0" w:line="360" w:lineRule="auto"/>
        <w:rPr>
          <w:rFonts w:ascii="Calibri" w:hAnsi="Calibri" w:cs="Calibri"/>
          <w:lang w:val="es-MX"/>
        </w:rPr>
      </w:pPr>
      <w:r w:rsidRPr="00071EBD">
        <w:rPr>
          <w:rStyle w:val="Textoennegrita"/>
          <w:rFonts w:ascii="Calibri" w:hAnsi="Calibri" w:cs="Calibri"/>
          <w:bdr w:val="none" w:sz="0" w:space="0" w:color="auto" w:frame="1"/>
          <w:shd w:val="clear" w:color="auto" w:fill="FFFFFF"/>
          <w:lang w:val="es-MX"/>
        </w:rPr>
        <w:t xml:space="preserve">En la intersección de las calles San Lorenzo y Santiago, en la ciudad de Rosario, se emplaza este edificio a dos cuadras del boulevard </w:t>
      </w:r>
      <w:proofErr w:type="spellStart"/>
      <w:r w:rsidRPr="00071EBD">
        <w:rPr>
          <w:rStyle w:val="Textoennegrita"/>
          <w:rFonts w:ascii="Calibri" w:hAnsi="Calibri" w:cs="Calibri"/>
          <w:bdr w:val="none" w:sz="0" w:space="0" w:color="auto" w:frame="1"/>
          <w:shd w:val="clear" w:color="auto" w:fill="FFFFFF"/>
          <w:lang w:val="es-MX"/>
        </w:rPr>
        <w:t>Oroño</w:t>
      </w:r>
      <w:proofErr w:type="spellEnd"/>
      <w:r w:rsidRPr="00071EBD">
        <w:rPr>
          <w:rStyle w:val="Textoennegrita"/>
          <w:rFonts w:ascii="Calibri" w:hAnsi="Calibri" w:cs="Calibri"/>
          <w:bdr w:val="none" w:sz="0" w:space="0" w:color="auto" w:frame="1"/>
          <w:shd w:val="clear" w:color="auto" w:fill="FFFFFF"/>
          <w:lang w:val="es-MX"/>
        </w:rPr>
        <w:t xml:space="preserve"> y a un kilómetro del Parque de la Independencia. El </w:t>
      </w:r>
      <w:r w:rsidRPr="00071EBD">
        <w:rPr>
          <w:rFonts w:ascii="Calibri" w:hAnsi="Calibri" w:cs="Calibri"/>
          <w:lang w:val="es-MX"/>
        </w:rPr>
        <w:t xml:space="preserve">peculiar lote en esquina y de acotadas dimensiones determinó el esquema de distribución del proyecto: </w:t>
      </w:r>
      <w:r w:rsidRPr="00071EBD">
        <w:rPr>
          <w:rFonts w:ascii="Calibri" w:hAnsi="Calibri" w:cs="Calibri"/>
          <w:color w:val="2A2A2A"/>
          <w:lang w:val="es-MX"/>
        </w:rPr>
        <w:t>ambientes principales en relación con la calle con orientación Norte y Este, y paquete de servicios (caja de escalera, ascensor y baños) apoyados sobre la medianera.</w:t>
      </w:r>
      <w:r w:rsidRPr="00071EBD">
        <w:rPr>
          <w:rStyle w:val="apple-converted-space"/>
          <w:rFonts w:ascii="Calibri" w:hAnsi="Calibri" w:cs="Calibri"/>
          <w:color w:val="2A2A2A"/>
          <w:lang w:val="es-MX"/>
        </w:rPr>
        <w:t> El terreno se ocupa en su totalidad, y generando un plano de fachada</w:t>
      </w:r>
      <w:r w:rsidRPr="00071EBD">
        <w:rPr>
          <w:rFonts w:ascii="Calibri" w:hAnsi="Calibri" w:cs="Calibri"/>
          <w:lang w:val="es-MX"/>
        </w:rPr>
        <w:t xml:space="preserve"> que excede la línea de edificación los 1,20mts permitidos en casi todo el perímetro, se explota al máximo la capacidad del lote.</w:t>
      </w:r>
    </w:p>
    <w:p w:rsidR="00071EBD" w:rsidRDefault="00071EBD" w:rsidP="00071EBD">
      <w:pPr>
        <w:pStyle w:val="Sinespaciado"/>
        <w:spacing w:line="360" w:lineRule="auto"/>
        <w:rPr>
          <w:rFonts w:ascii="Calibri" w:hAnsi="Calibri" w:cs="Calibri"/>
        </w:rPr>
      </w:pPr>
    </w:p>
    <w:p w:rsidR="00071EBD" w:rsidRDefault="00071EBD" w:rsidP="00071EBD">
      <w:pPr>
        <w:pStyle w:val="ecxmsonormal"/>
        <w:shd w:val="clear" w:color="auto" w:fill="FFFFFF"/>
        <w:tabs>
          <w:tab w:val="left" w:pos="1036"/>
        </w:tabs>
        <w:spacing w:before="0" w:beforeAutospacing="0" w:after="0" w:afterAutospacing="0" w:line="360" w:lineRule="auto"/>
        <w:contextualSpacing/>
        <w:rPr>
          <w:rFonts w:ascii="Calibri" w:hAnsi="Calibri" w:cs="Calibri"/>
          <w:sz w:val="22"/>
          <w:szCs w:val="22"/>
        </w:rPr>
      </w:pPr>
      <w:r w:rsidRPr="00AD72B6">
        <w:rPr>
          <w:rFonts w:ascii="Calibri" w:hAnsi="Calibri" w:cs="Calibri"/>
          <w:sz w:val="22"/>
          <w:szCs w:val="22"/>
        </w:rPr>
        <w:t>La repetición de la planta tipo está signada por la utilización del recuso de la trama; allí se alojan los balcones de los departamentos. Este elemento que caracteriza e identifica formalmente al edificio, está compuesto por losas y columnas intercaladas de hormigón armado visto y consolida la esquina al recomponer en altura el ángulo recto de encuentro de ambas calles. La trama construida en voladizo está sostenida, en su parte posterior, por una trama interior formada por tabiques y vigas que componen la estructura portante de todo el conjunto.</w:t>
      </w:r>
    </w:p>
    <w:p w:rsidR="00071EBD" w:rsidRDefault="00071EBD" w:rsidP="00071EBD">
      <w:pPr>
        <w:pStyle w:val="ecxmsonormal"/>
        <w:shd w:val="clear" w:color="auto" w:fill="FFFFFF"/>
        <w:tabs>
          <w:tab w:val="left" w:pos="1036"/>
        </w:tabs>
        <w:spacing w:before="0" w:beforeAutospacing="0" w:after="0" w:afterAutospacing="0" w:line="360" w:lineRule="auto"/>
        <w:contextualSpacing/>
        <w:rPr>
          <w:rFonts w:ascii="Calibri" w:hAnsi="Calibri" w:cs="Calibri"/>
          <w:sz w:val="22"/>
          <w:szCs w:val="22"/>
        </w:rPr>
      </w:pPr>
    </w:p>
    <w:p w:rsidR="00071EBD" w:rsidRDefault="00071EBD" w:rsidP="00071EBD">
      <w:pPr>
        <w:pStyle w:val="ecxmsonormal"/>
        <w:shd w:val="clear" w:color="auto" w:fill="FFFFFF"/>
        <w:tabs>
          <w:tab w:val="left" w:pos="1036"/>
        </w:tabs>
        <w:spacing w:before="0" w:beforeAutospacing="0" w:after="0" w:afterAutospacing="0" w:line="360" w:lineRule="auto"/>
        <w:contextualSpacing/>
        <w:rPr>
          <w:rFonts w:ascii="Calibri" w:hAnsi="Calibri" w:cs="Calibri"/>
          <w:sz w:val="22"/>
          <w:szCs w:val="22"/>
        </w:rPr>
      </w:pPr>
      <w:r w:rsidRPr="00AD72B6">
        <w:rPr>
          <w:rFonts w:ascii="Calibri" w:hAnsi="Calibri" w:cs="Calibri"/>
          <w:sz w:val="22"/>
          <w:szCs w:val="22"/>
        </w:rPr>
        <w:t xml:space="preserve">El primer piso -destinado a oficinas- </w:t>
      </w:r>
      <w:r>
        <w:rPr>
          <w:rFonts w:ascii="Calibri" w:hAnsi="Calibri" w:cs="Calibri"/>
          <w:sz w:val="22"/>
          <w:szCs w:val="22"/>
        </w:rPr>
        <w:t>funciona como una</w:t>
      </w:r>
      <w:r w:rsidRPr="00AD72B6">
        <w:rPr>
          <w:rFonts w:ascii="Calibri" w:hAnsi="Calibri" w:cs="Calibri"/>
          <w:sz w:val="22"/>
          <w:szCs w:val="22"/>
        </w:rPr>
        <w:t xml:space="preserve"> transición entre el nivel de planta baja y la trama superpuesta de los balcones. Esta planta se recorta en la esquina y desmaterializa la ochava, generando un espacio de doble altura que otorga escala urbana al ingreso.</w:t>
      </w:r>
    </w:p>
    <w:p w:rsidR="00071EBD" w:rsidRDefault="00071EBD" w:rsidP="00071EBD">
      <w:pPr>
        <w:pStyle w:val="ecxmsonormal"/>
        <w:shd w:val="clear" w:color="auto" w:fill="FFFFFF"/>
        <w:tabs>
          <w:tab w:val="left" w:pos="1036"/>
        </w:tabs>
        <w:spacing w:before="0" w:beforeAutospacing="0" w:after="0" w:afterAutospacing="0" w:line="360" w:lineRule="auto"/>
        <w:contextualSpacing/>
        <w:rPr>
          <w:rFonts w:ascii="Calibri" w:hAnsi="Calibri" w:cs="Calibri"/>
          <w:sz w:val="22"/>
          <w:szCs w:val="22"/>
        </w:rPr>
      </w:pPr>
    </w:p>
    <w:p w:rsidR="00071EBD" w:rsidRDefault="00071EBD" w:rsidP="00071EBD">
      <w:pPr>
        <w:pStyle w:val="ecxmsonormal"/>
        <w:shd w:val="clear" w:color="auto" w:fill="FFFFFF"/>
        <w:tabs>
          <w:tab w:val="left" w:pos="1036"/>
        </w:tabs>
        <w:spacing w:before="0" w:beforeAutospacing="0" w:after="0" w:afterAutospacing="0" w:line="360" w:lineRule="auto"/>
        <w:contextualSpacing/>
        <w:rPr>
          <w:rFonts w:ascii="Calibri" w:hAnsi="Calibri" w:cs="Calibri"/>
          <w:sz w:val="22"/>
          <w:szCs w:val="22"/>
        </w:rPr>
      </w:pPr>
      <w:r w:rsidRPr="00AD72B6">
        <w:rPr>
          <w:rFonts w:ascii="Calibri" w:hAnsi="Calibri" w:cs="Calibri"/>
          <w:sz w:val="22"/>
          <w:szCs w:val="22"/>
        </w:rPr>
        <w:t xml:space="preserve">En este tipo de edificios en propiedad horizontal, se atiende a la repetición y a las diferencias. En este proyecto, la diferencia radica en la espacialidad de la planta baja, sacándole partido al recurso de la planta libre, y otorgando así continuidad visual entre el interior del edificio y el espacio público. La utilización en todo su perímetro de una trama abierta de perfiles metálicos cierra físicamente la planta baja, aunque no visualmente. </w:t>
      </w:r>
    </w:p>
    <w:p w:rsidR="00071EBD" w:rsidRPr="00AD72B6" w:rsidRDefault="00071EBD" w:rsidP="00071EBD">
      <w:pPr>
        <w:pStyle w:val="ecxmsonormal"/>
        <w:shd w:val="clear" w:color="auto" w:fill="FFFFFF"/>
        <w:tabs>
          <w:tab w:val="left" w:pos="1036"/>
        </w:tabs>
        <w:spacing w:before="0" w:beforeAutospacing="0" w:after="0" w:afterAutospacing="0" w:line="360" w:lineRule="auto"/>
        <w:contextualSpacing/>
        <w:rPr>
          <w:rFonts w:ascii="Calibri" w:hAnsi="Calibri" w:cs="Calibri"/>
          <w:sz w:val="22"/>
          <w:szCs w:val="22"/>
        </w:rPr>
      </w:pPr>
    </w:p>
    <w:p w:rsidR="00071EBD" w:rsidRPr="00071EBD" w:rsidRDefault="00071EBD" w:rsidP="00071EBD">
      <w:pPr>
        <w:tabs>
          <w:tab w:val="left" w:pos="1036"/>
        </w:tabs>
        <w:spacing w:after="0" w:line="360" w:lineRule="auto"/>
        <w:contextualSpacing/>
        <w:rPr>
          <w:rFonts w:ascii="Calibri" w:hAnsi="Calibri" w:cs="Calibri"/>
          <w:lang w:val="es-MX"/>
        </w:rPr>
      </w:pPr>
      <w:r w:rsidRPr="00071EBD">
        <w:rPr>
          <w:rFonts w:ascii="Calibri" w:hAnsi="Calibri" w:cs="Calibri"/>
          <w:lang w:val="es-MX"/>
        </w:rPr>
        <w:t xml:space="preserve">Entre el hall de ingreso y el sector de cocheras no existen límites físicos, sacándole partido a la continuidad espacial posibilitada por la planta libre. El límite se plantea simplemente al utilizar en el hall, elevado unos centímetros, un material de un acabado brillante como el granito negro en </w:t>
      </w:r>
      <w:r w:rsidRPr="00071EBD">
        <w:rPr>
          <w:rFonts w:ascii="Calibri" w:hAnsi="Calibri" w:cs="Calibri"/>
          <w:lang w:val="es-MX"/>
        </w:rPr>
        <w:lastRenderedPageBreak/>
        <w:t xml:space="preserve">contraposición a la opacidad del piso gris de baldosas, y bajando el nivel de techo con un cielorraso suspendido en contraposición a la rusticidad de la losa de hormigón vista. </w:t>
      </w:r>
    </w:p>
    <w:p w:rsidR="00071EBD" w:rsidRDefault="00071EBD">
      <w:pPr>
        <w:rPr>
          <w:lang w:val="es-MX"/>
        </w:rPr>
      </w:pPr>
    </w:p>
    <w:p w:rsidR="00071EBD" w:rsidRDefault="00071EBD" w:rsidP="00071EBD">
      <w:pPr>
        <w:pStyle w:val="Sinespaciado"/>
        <w:spacing w:line="360" w:lineRule="auto"/>
        <w:rPr>
          <w:rFonts w:ascii="Calibri" w:hAnsi="Calibri" w:cs="Calibri"/>
          <w:b/>
          <w:bCs/>
        </w:rPr>
      </w:pPr>
    </w:p>
    <w:p w:rsidR="00071EBD" w:rsidRPr="00AE6AB8" w:rsidRDefault="00071EBD">
      <w:pPr>
        <w:rPr>
          <w:lang w:val="es-MX"/>
        </w:rPr>
      </w:pPr>
    </w:p>
    <w:sectPr w:rsidR="00071EBD" w:rsidRPr="00AE6AB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A54AD7"/>
    <w:multiLevelType w:val="hybridMultilevel"/>
    <w:tmpl w:val="614ABB16"/>
    <w:lvl w:ilvl="0" w:tplc="B68818DE">
      <w:numFmt w:val="bullet"/>
      <w:lvlText w:val="-"/>
      <w:lvlJc w:val="left"/>
      <w:pPr>
        <w:ind w:left="720" w:hanging="360"/>
      </w:pPr>
      <w:rPr>
        <w:rFonts w:ascii="Calibri" w:eastAsia="Times New Roman" w:hAnsi="Calibri" w:cs="Calibri" w:hint="default"/>
        <w:b w:val="0"/>
        <w:bCs/>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267B6B99"/>
    <w:multiLevelType w:val="hybridMultilevel"/>
    <w:tmpl w:val="39B42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C0522F"/>
    <w:multiLevelType w:val="hybridMultilevel"/>
    <w:tmpl w:val="3F46E2E4"/>
    <w:lvl w:ilvl="0" w:tplc="1E506CD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532045"/>
    <w:multiLevelType w:val="multilevel"/>
    <w:tmpl w:val="52306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AB8"/>
    <w:rsid w:val="00022A8A"/>
    <w:rsid w:val="00071EBD"/>
    <w:rsid w:val="001E6EBD"/>
    <w:rsid w:val="00202EAC"/>
    <w:rsid w:val="00902067"/>
    <w:rsid w:val="009223B0"/>
    <w:rsid w:val="00A643AD"/>
    <w:rsid w:val="00AD73A6"/>
    <w:rsid w:val="00AE6AB8"/>
    <w:rsid w:val="00BB219D"/>
    <w:rsid w:val="00BC02A2"/>
    <w:rsid w:val="00C17D4E"/>
    <w:rsid w:val="00DF764C"/>
    <w:rsid w:val="00E16534"/>
    <w:rsid w:val="00E44C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0E912"/>
  <w15:chartTrackingRefBased/>
  <w15:docId w15:val="{A1BA7CF0-A6FE-434D-A6B7-BF7961593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AE6A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7eme">
    <w:name w:val="m7eme"/>
    <w:basedOn w:val="Fuentedeprrafopredeter"/>
    <w:rsid w:val="00AE6AB8"/>
  </w:style>
  <w:style w:type="paragraph" w:styleId="Prrafodelista">
    <w:name w:val="List Paragraph"/>
    <w:basedOn w:val="Normal"/>
    <w:uiPriority w:val="34"/>
    <w:qFormat/>
    <w:rsid w:val="00AE6AB8"/>
    <w:pPr>
      <w:ind w:left="720"/>
      <w:contextualSpacing/>
    </w:pPr>
  </w:style>
  <w:style w:type="paragraph" w:styleId="Ttulo">
    <w:name w:val="Title"/>
    <w:basedOn w:val="Normal"/>
    <w:link w:val="TtuloCar"/>
    <w:uiPriority w:val="1"/>
    <w:qFormat/>
    <w:rsid w:val="001E6EBD"/>
    <w:pPr>
      <w:widowControl w:val="0"/>
      <w:autoSpaceDE w:val="0"/>
      <w:autoSpaceDN w:val="0"/>
      <w:spacing w:after="0" w:line="240" w:lineRule="auto"/>
    </w:pPr>
    <w:rPr>
      <w:rFonts w:ascii="Times New Roman" w:eastAsia="Times New Roman" w:hAnsi="Times New Roman" w:cs="Times New Roman"/>
    </w:rPr>
  </w:style>
  <w:style w:type="character" w:customStyle="1" w:styleId="TtuloCar">
    <w:name w:val="Título Car"/>
    <w:basedOn w:val="Fuentedeprrafopredeter"/>
    <w:link w:val="Ttulo"/>
    <w:uiPriority w:val="1"/>
    <w:rsid w:val="001E6EBD"/>
    <w:rPr>
      <w:rFonts w:ascii="Times New Roman" w:eastAsia="Times New Roman" w:hAnsi="Times New Roman" w:cs="Times New Roman"/>
    </w:rPr>
  </w:style>
  <w:style w:type="paragraph" w:styleId="Sinespaciado">
    <w:name w:val="No Spacing"/>
    <w:uiPriority w:val="1"/>
    <w:qFormat/>
    <w:rsid w:val="00202EAC"/>
    <w:pPr>
      <w:spacing w:after="0" w:line="240" w:lineRule="auto"/>
    </w:pPr>
    <w:rPr>
      <w:rFonts w:eastAsiaTheme="minorEastAsia"/>
      <w:lang w:val="es-AR" w:eastAsia="es-AR"/>
    </w:rPr>
  </w:style>
  <w:style w:type="paragraph" w:customStyle="1" w:styleId="ecxmsonormal">
    <w:name w:val="ecxmsonormal"/>
    <w:basedOn w:val="Normal"/>
    <w:rsid w:val="00071EBD"/>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apple-converted-space">
    <w:name w:val="apple-converted-space"/>
    <w:basedOn w:val="Fuentedeprrafopredeter"/>
    <w:rsid w:val="00071EBD"/>
  </w:style>
  <w:style w:type="character" w:styleId="Textoennegrita">
    <w:name w:val="Strong"/>
    <w:basedOn w:val="Fuentedeprrafopredeter"/>
    <w:uiPriority w:val="22"/>
    <w:qFormat/>
    <w:rsid w:val="00071EB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2997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592</Words>
  <Characters>3378</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 Estudio</dc:creator>
  <cp:keywords/>
  <dc:description/>
  <cp:lastModifiedBy>MS Estudio</cp:lastModifiedBy>
  <cp:revision>8</cp:revision>
  <dcterms:created xsi:type="dcterms:W3CDTF">2025-05-26T15:40:00Z</dcterms:created>
  <dcterms:modified xsi:type="dcterms:W3CDTF">2025-05-26T16:01:00Z</dcterms:modified>
</cp:coreProperties>
</file>